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108</w:t>
      </w:r>
    </w:p>
    <w:p>
      <w:r>
        <w:t>Bundesgericht (BGE), 1976-05-25, DE</w:t>
      </w:r>
    </w:p>
    <w:p>
      <w:r>
        <w:rPr>
          <w:b/>
        </w:rPr>
        <w:t xml:space="preserve">Quelle: </w:t>
      </w:r>
      <w:r>
        <w:t>https://mcp.opencaselaw.ch/entscheid/bge_102 V 108</w:t>
      </w:r>
    </w:p>
    <w:p>
      <w:r>
        <w:t>FR: ATF 102 V 108</w:t>
      </w:r>
    </w:p>
    <w:p>
      <w:r>
        <w:t>IT: DTF 102 V 108</w:t>
      </w:r>
    </w:p>
    <w:p>
      <w:pPr>
        <w:pStyle w:val="Heading2"/>
      </w:pPr>
      <w:r>
        <w:t>Regeste</w:t>
      </w:r>
    </w:p>
    <w:p>
      <w:r>
        <w:t>Regeste Schwimmunterricht, den ein Sonderschüler ausserhalb seiner Sonderschulung erhält, fällt nicht unter Art. 19 Abs. 2 lit. c IVG.</w:t>
      </w:r>
    </w:p>
    <w:p>
      <w:pPr>
        <w:pStyle w:val="Heading2"/>
      </w:pPr>
      <w:r>
        <w:t>Erwägungen</w:t>
      </w:r>
    </w:p>
    <w:p>
      <w:r>
        <w:rPr>
          <w:b/>
        </w:rPr>
        <w:t>E. 1</w:t>
      </w:r>
    </w:p>
    <w:p>
      <w:r>
        <w:t>Zur Sonderschulung eines bildungsfähigen Kindes, das invaliditätshalber nicht die Volksschule besuchen kann, zählt nach Art. 19 Abs. 1 IVG die eigentliche Schulausbildung und, wenn das Kind für den Unterricht in den Elementarfächern nicht oder wenig taugt, auch die Förderung der manuellen Belange, der Verrichtungen des täglichen Lebens und der Fähigkeit zum Kontakt mit der Umwelt. An den Kosten jeder Sonderschulung beteiligt sich die Invalidenversicherung mit einem Schulgeldbeitrag; ferner gewährt sie eventuell einen Kostgeldbeitrag und übernimmt die invaliditätsbedingten Transportkosten, die allenfalls mit dem Besuch der Sonderschule verbunden sind (Art. 19 Abs. 1 und Abs. 2 lit. a und b IVG; Art. 11 Abs. 1 IVV ). Einer Sonderschulung bedürfen unter anderem die in mittlerem Grade schwachsinnigen Kinder. Denn ihnen kann erfahrungsgemäss das Sprechen und bis zu einem gewissen Niveau auch das Lesen und Schreiben beigebracht werden (FANCONI UND WALLGREN, Lehrbuch der Pädiatrie, 9. Aufl., S. 81; LUTZ, Kinderpsychiatrie, 4. Aufl., S. 156).</w:t>
      </w:r>
    </w:p>
    <w:p>
      <w:r>
        <w:rPr>
          <w:b/>
        </w:rPr>
        <w:t>E. 2</w:t>
      </w:r>
    </w:p>
    <w:p>
      <w:r>
        <w:t>Laut Art. 19 Abs. 2 lit. c IVG in Verbindung mit den Art. 8 Abs. 1 lit. c und 10bis IVV übernimmt die Invalidenversicherung ausserdem die Kosten von pädagogisch-therapeutischen Massnahmen, wenn solche bei einem invaliden Kinde zusätzlich zum Sonderschulunterricht notwendig sind (sont nécessaires en plus de l'enseignement de l'école spéciale; sono necessari in più dell'istruzione speciale) und demnach jenen Unterricht zu ergänzen bestimmt sind. Als derartige zusätzliche Massnahmen gelten hauptsächlich die Sprachheilbehandlung für schwer Sprachgebrechliche, das Hörtraining und der Ableseunterricht für Gehörgeschädigte, die Vorkehren zum Spracherwerb und Sprachaufbau für hochgradig geistig Behinderte sowie die Sondergymnastik zur Förderung gestörter Motorik für Sinnesbehinderte und hochgradig geistig Behinderte, wie die beispielsweise Aufzählung in Art. 8 Abs. 1 lit. c IVV zeigt.</w:t>
      </w:r>
    </w:p>
    <w:p>
      <w:r>
        <w:rPr>
          <w:b/>
        </w:rPr>
        <w:t>E. 3</w:t>
      </w:r>
    </w:p>
    <w:p>
      <w:r>
        <w:t>Schwimmunterricht ist keine den Sonderschulunterricht ergänzende Massnahme, sondern ein Teil der in Art. 19 Abs. 1 IVG BGE 102 V 108 S. 111 erwähnten eigentlichen Schulausbildung und allfälligen praktischen Förderung. Denn er ist keine pädagogisch-therapeutische "Extraleistung", sondern gehört nach moderner pädagogischer Anschauung zum normalen Programm einer Sonderschule, wie der Arzt der Schule X. am 4. Oktober 1975 zuhanden der Invalidenversicherungs-Kommission bescheinigt hatte und das Bundesamt für Sozialversicherung in der vorliegenden Verwaltungsgerichtsbeschwerde mit einleuchtender Begründung bestätigt. Aus diesem Grunde kann der einem Sonderschüler ausserhalb der Sonderschulung erteilte Schwimmunterricht nicht unter die Art. 8 Abs. 1 lit. c und 10bis IVV subsumiert werden. Daraus erhellt für den vorliegenden Fall, dass die am 23. September 1975 ergangene Kassenverfügung zu Recht besteht. Dispositiv Demnach erkennt das Eidg. Versicherungsgericht: Die Verwaltungsgerichtsbeschwerde wird gutgeheissen und das vorinstanzliche Urteil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